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E" w:rsidRDefault="00BB03BE" w:rsidP="00BB03BE">
      <w:pPr>
        <w:shd w:val="clear" w:color="auto" w:fill="FFFFFF"/>
        <w:spacing w:after="390" w:line="207" w:lineRule="atLeast"/>
        <w:jc w:val="both"/>
        <w:textAlignment w:val="baseline"/>
        <w:rPr>
          <w:rFonts w:ascii="Arial" w:eastAsia="Times New Roman" w:hAnsi="Arial" w:cs="Arial"/>
          <w:color w:val="373737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73737"/>
          <w:sz w:val="17"/>
          <w:szCs w:val="17"/>
          <w:lang w:eastAsia="pl-PL"/>
        </w:rPr>
        <w:t>Mediacje – szkolenie podstawowe 16h</w:t>
      </w:r>
    </w:p>
    <w:p w:rsidR="00BB03BE" w:rsidRPr="00BB03BE" w:rsidRDefault="00BB03BE" w:rsidP="00BB03BE">
      <w:pPr>
        <w:shd w:val="clear" w:color="auto" w:fill="FFFFFF"/>
        <w:spacing w:after="390" w:line="207" w:lineRule="atLeast"/>
        <w:jc w:val="both"/>
        <w:textAlignment w:val="baseline"/>
        <w:rPr>
          <w:rFonts w:ascii="Arial" w:eastAsia="Times New Roman" w:hAnsi="Arial" w:cs="Arial"/>
          <w:color w:val="373737"/>
          <w:sz w:val="17"/>
          <w:szCs w:val="17"/>
          <w:lang w:eastAsia="pl-PL"/>
        </w:rPr>
      </w:pPr>
      <w:r w:rsidRPr="00BB03BE">
        <w:rPr>
          <w:rFonts w:ascii="Arial" w:eastAsia="Times New Roman" w:hAnsi="Arial" w:cs="Arial"/>
          <w:color w:val="373737"/>
          <w:sz w:val="17"/>
          <w:szCs w:val="17"/>
          <w:lang w:eastAsia="pl-PL"/>
        </w:rPr>
        <w:t>PROGRAM SZKOLENIA</w:t>
      </w:r>
    </w:p>
    <w:p w:rsidR="00BB03BE" w:rsidRPr="00BB03BE" w:rsidRDefault="00BB03BE" w:rsidP="00BB03BE">
      <w:pPr>
        <w:pStyle w:val="Akapitzlist"/>
        <w:numPr>
          <w:ilvl w:val="0"/>
          <w:numId w:val="4"/>
        </w:numPr>
        <w:shd w:val="clear" w:color="auto" w:fill="FFFFFF"/>
        <w:spacing w:after="0" w:line="207" w:lineRule="atLeast"/>
        <w:jc w:val="both"/>
        <w:textAlignment w:val="baseline"/>
        <w:rPr>
          <w:rFonts w:ascii="inherit" w:eastAsia="Times New Roman" w:hAnsi="inherit" w:cs="Arial"/>
          <w:b/>
          <w:bCs/>
          <w:color w:val="373737"/>
          <w:sz w:val="17"/>
          <w:lang w:eastAsia="pl-PL"/>
        </w:rPr>
      </w:pPr>
      <w:r w:rsidRPr="00BB03BE">
        <w:rPr>
          <w:rFonts w:ascii="inherit" w:eastAsia="Times New Roman" w:hAnsi="inherit" w:cs="Arial"/>
          <w:b/>
          <w:bCs/>
          <w:color w:val="373737"/>
          <w:sz w:val="17"/>
          <w:lang w:eastAsia="pl-PL"/>
        </w:rPr>
        <w:t xml:space="preserve">Prawne i organizacyjne aspekty funkcjonowania procedur mediacyjnych </w:t>
      </w:r>
    </w:p>
    <w:p w:rsidR="00BB03BE" w:rsidRPr="00BB03BE" w:rsidRDefault="00BB03BE" w:rsidP="00BB03BE">
      <w:pPr>
        <w:numPr>
          <w:ilvl w:val="0"/>
          <w:numId w:val="1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szczegółowe omówienie zasad prowadzenia postępowania mediacyjnego</w:t>
      </w:r>
    </w:p>
    <w:p w:rsidR="00BB03BE" w:rsidRPr="00BB03BE" w:rsidRDefault="00BB03BE" w:rsidP="00BB03BE">
      <w:pPr>
        <w:numPr>
          <w:ilvl w:val="0"/>
          <w:numId w:val="1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prawa i obowiązki mediatora</w:t>
      </w:r>
    </w:p>
    <w:p w:rsidR="00BB03BE" w:rsidRPr="00BB03BE" w:rsidRDefault="00BB03BE" w:rsidP="00BB03BE">
      <w:pPr>
        <w:numPr>
          <w:ilvl w:val="0"/>
          <w:numId w:val="1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zagadnienia etyki zawodowej mediatorów</w:t>
      </w:r>
    </w:p>
    <w:p w:rsidR="00BB03BE" w:rsidRPr="00BB03BE" w:rsidRDefault="00BB03BE" w:rsidP="00BB03BE">
      <w:pPr>
        <w:numPr>
          <w:ilvl w:val="0"/>
          <w:numId w:val="1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zagadnienia praktyczne związane z organizacją postępowania mediacyjnego</w:t>
      </w:r>
    </w:p>
    <w:p w:rsidR="00BB03BE" w:rsidRPr="00BB03BE" w:rsidRDefault="00BB03BE" w:rsidP="00BB03BE">
      <w:pPr>
        <w:shd w:val="clear" w:color="auto" w:fill="FFFFFF"/>
        <w:spacing w:after="0" w:line="272" w:lineRule="atLeast"/>
        <w:ind w:left="24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</w:p>
    <w:p w:rsidR="00BB03BE" w:rsidRPr="00BB03BE" w:rsidRDefault="00BB03BE" w:rsidP="00BB03BE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b/>
          <w:bCs/>
          <w:color w:val="373737"/>
          <w:sz w:val="17"/>
          <w:lang w:eastAsia="pl-PL"/>
        </w:rPr>
        <w:t>II. Psychologiczne mechanizmy powstawania, eskalacji i rozwiązywania konfliktów:</w:t>
      </w:r>
    </w:p>
    <w:p w:rsidR="00BB03BE" w:rsidRPr="00BB03BE" w:rsidRDefault="00BB03BE" w:rsidP="00BB03BE">
      <w:pPr>
        <w:numPr>
          <w:ilvl w:val="0"/>
          <w:numId w:val="2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wybrane zagadnienia z psychologii społecznej, w szczególności w zakresie praktycznego</w:t>
      </w:r>
    </w:p>
    <w:p w:rsidR="00BB03BE" w:rsidRPr="00BB03BE" w:rsidRDefault="00BB03BE" w:rsidP="00BB03BE">
      <w:pPr>
        <w:numPr>
          <w:ilvl w:val="0"/>
          <w:numId w:val="2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zastosowania wiedzy psychologicznej o mechanizmach powstawania, eskalacji i rozwiązywania konfliktów</w:t>
      </w:r>
    </w:p>
    <w:p w:rsidR="00BB03BE" w:rsidRPr="00BB03BE" w:rsidRDefault="00BB03BE" w:rsidP="00BB03BE">
      <w:pPr>
        <w:numPr>
          <w:ilvl w:val="0"/>
          <w:numId w:val="2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procedury rozwiązywania konfliktów (negocjacje, mediacje, arbitraż, sąd) – podobieństwa i różnice</w:t>
      </w:r>
    </w:p>
    <w:p w:rsidR="00BB03BE" w:rsidRPr="00BB03BE" w:rsidRDefault="00BB03BE" w:rsidP="00BB03BE">
      <w:pPr>
        <w:numPr>
          <w:ilvl w:val="0"/>
          <w:numId w:val="2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stosowanie procedur mediacyjnych w Polsce i na świecie (spory zbiorowe, konflikty w społecznościach lokalnych, konflikty sąsiedzkie, rodzinne, spory sądowe)</w:t>
      </w:r>
    </w:p>
    <w:p w:rsidR="00BB03BE" w:rsidRPr="00BB03BE" w:rsidRDefault="00BB03BE" w:rsidP="00BB03BE">
      <w:pPr>
        <w:numPr>
          <w:ilvl w:val="0"/>
          <w:numId w:val="2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różne modele mediacji pokrzywdzony-sprawca</w:t>
      </w:r>
    </w:p>
    <w:p w:rsidR="00BB03BE" w:rsidRPr="00BB03BE" w:rsidRDefault="00BB03BE" w:rsidP="00BB03BE">
      <w:pPr>
        <w:numPr>
          <w:ilvl w:val="0"/>
          <w:numId w:val="2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wiedza o procesie mediacji (specyfika roli mediatora, etapy mediacji, rola satysfakcji merytorycznej, psychologicznej i proceduralnej).</w:t>
      </w:r>
    </w:p>
    <w:p w:rsidR="00BB03BE" w:rsidRPr="00BB03BE" w:rsidRDefault="00BB03BE" w:rsidP="00BB03BE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b/>
          <w:bCs/>
          <w:color w:val="373737"/>
          <w:sz w:val="17"/>
          <w:lang w:eastAsia="pl-PL"/>
        </w:rPr>
        <w:t>III. Trening umiejętności mediacyjnych w zakresie:</w:t>
      </w:r>
    </w:p>
    <w:p w:rsidR="00BB03BE" w:rsidRPr="00BB03BE" w:rsidRDefault="00BB03BE" w:rsidP="00BB03BE">
      <w:pPr>
        <w:numPr>
          <w:ilvl w:val="0"/>
          <w:numId w:val="3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prowadzenia wstępnych spotkań ze stronami oraz opanowania wypowiedzi otwierających mediację</w:t>
      </w:r>
    </w:p>
    <w:p w:rsidR="00BB03BE" w:rsidRPr="00BB03BE" w:rsidRDefault="00BB03BE" w:rsidP="00BB03BE">
      <w:pPr>
        <w:numPr>
          <w:ilvl w:val="0"/>
          <w:numId w:val="3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dokonania analizy i diagnozy konfliktu objętego mediacją</w:t>
      </w:r>
    </w:p>
    <w:p w:rsidR="00BB03BE" w:rsidRPr="00BB03BE" w:rsidRDefault="00BB03BE" w:rsidP="00BB03BE">
      <w:pPr>
        <w:numPr>
          <w:ilvl w:val="0"/>
          <w:numId w:val="3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prowadzenia sesji mediacyjnych i spotkań na osobności z uczestnikami postępowania mediacyjnego (opanowania technik mediacyjnych)</w:t>
      </w:r>
    </w:p>
    <w:p w:rsidR="00BB03BE" w:rsidRPr="00BB03BE" w:rsidRDefault="00BB03BE" w:rsidP="00BB03BE">
      <w:pPr>
        <w:numPr>
          <w:ilvl w:val="0"/>
          <w:numId w:val="3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komunikowania się z uczestnikami w sposób umożliwiający zrozumienie problemu (aktywne słuchanie, zadawanie pytań)</w:t>
      </w:r>
    </w:p>
    <w:p w:rsidR="00BB03BE" w:rsidRPr="00BB03BE" w:rsidRDefault="00BB03BE" w:rsidP="00BB03BE">
      <w:pPr>
        <w:numPr>
          <w:ilvl w:val="0"/>
          <w:numId w:val="3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pomocy w doprowadzeniu do satysfakcjonującej obie strony ugody</w:t>
      </w:r>
    </w:p>
    <w:p w:rsidR="00BB03BE" w:rsidRPr="00BB03BE" w:rsidRDefault="00BB03BE" w:rsidP="00BB03BE">
      <w:pPr>
        <w:numPr>
          <w:ilvl w:val="0"/>
          <w:numId w:val="3"/>
        </w:numPr>
        <w:shd w:val="clear" w:color="auto" w:fill="FFFFFF"/>
        <w:spacing w:after="0" w:line="272" w:lineRule="atLeast"/>
        <w:ind w:left="600"/>
        <w:textAlignment w:val="baseline"/>
        <w:rPr>
          <w:rFonts w:ascii="inherit" w:eastAsia="Times New Roman" w:hAnsi="inherit" w:cs="Arial"/>
          <w:color w:val="373737"/>
          <w:sz w:val="17"/>
          <w:szCs w:val="17"/>
          <w:lang w:eastAsia="pl-PL"/>
        </w:rPr>
      </w:pPr>
      <w:r w:rsidRPr="00BB03BE">
        <w:rPr>
          <w:rFonts w:ascii="inherit" w:eastAsia="Times New Roman" w:hAnsi="inherit" w:cs="Arial"/>
          <w:color w:val="373737"/>
          <w:sz w:val="17"/>
          <w:szCs w:val="17"/>
          <w:lang w:eastAsia="pl-PL"/>
        </w:rPr>
        <w:t>opanowania terminologii umożliwiającej współpracę i wymianę doświadczeń z innymi mediatorami.</w:t>
      </w:r>
    </w:p>
    <w:p w:rsidR="00BB03BE" w:rsidRDefault="00BB03BE" w:rsidP="00BB03BE">
      <w:pPr>
        <w:shd w:val="clear" w:color="auto" w:fill="FFFFFF"/>
        <w:spacing w:after="390" w:line="207" w:lineRule="atLeast"/>
        <w:jc w:val="both"/>
        <w:textAlignment w:val="baseline"/>
        <w:rPr>
          <w:rFonts w:ascii="Arial" w:eastAsia="Times New Roman" w:hAnsi="Arial" w:cs="Arial"/>
          <w:color w:val="373737"/>
          <w:sz w:val="17"/>
          <w:szCs w:val="17"/>
          <w:lang w:eastAsia="pl-PL"/>
        </w:rPr>
      </w:pPr>
    </w:p>
    <w:p w:rsidR="00BB03BE" w:rsidRPr="00BB03BE" w:rsidRDefault="00BB03BE" w:rsidP="00BB03BE">
      <w:pPr>
        <w:shd w:val="clear" w:color="auto" w:fill="FFFFFF"/>
        <w:spacing w:after="390" w:line="207" w:lineRule="atLeast"/>
        <w:jc w:val="both"/>
        <w:textAlignment w:val="baseline"/>
        <w:rPr>
          <w:rFonts w:ascii="Arial" w:eastAsia="Times New Roman" w:hAnsi="Arial" w:cs="Arial"/>
          <w:color w:val="373737"/>
          <w:sz w:val="17"/>
          <w:szCs w:val="17"/>
          <w:lang w:eastAsia="pl-PL"/>
        </w:rPr>
      </w:pPr>
      <w:r w:rsidRPr="00BB03BE">
        <w:rPr>
          <w:rFonts w:ascii="Arial" w:eastAsia="Times New Roman" w:hAnsi="Arial" w:cs="Arial"/>
          <w:color w:val="373737"/>
          <w:sz w:val="17"/>
          <w:szCs w:val="17"/>
          <w:lang w:eastAsia="pl-PL"/>
        </w:rPr>
        <w:t>METODY SZKOLENIOWE</w:t>
      </w:r>
    </w:p>
    <w:p w:rsidR="00BB03BE" w:rsidRPr="00BB03BE" w:rsidRDefault="00BB03BE" w:rsidP="00BB03BE">
      <w:pPr>
        <w:shd w:val="clear" w:color="auto" w:fill="FFFFFF"/>
        <w:spacing w:after="390" w:line="207" w:lineRule="atLeast"/>
        <w:jc w:val="both"/>
        <w:textAlignment w:val="baseline"/>
        <w:rPr>
          <w:rFonts w:ascii="Arial" w:eastAsia="Times New Roman" w:hAnsi="Arial" w:cs="Arial"/>
          <w:color w:val="373737"/>
          <w:sz w:val="17"/>
          <w:szCs w:val="17"/>
          <w:lang w:eastAsia="pl-PL"/>
        </w:rPr>
      </w:pPr>
      <w:r w:rsidRPr="00BB03BE">
        <w:rPr>
          <w:rFonts w:ascii="Arial" w:eastAsia="Times New Roman" w:hAnsi="Arial" w:cs="Arial"/>
          <w:color w:val="373737"/>
          <w:sz w:val="17"/>
          <w:szCs w:val="17"/>
          <w:lang w:eastAsia="pl-PL"/>
        </w:rPr>
        <w:t xml:space="preserve">Zajęcia prowadzone są z wykorzystaniem aktywnych metod angażujących uczestników, ćwiczeń wspomaganych mini wykładami, dyskusji, symulacji, odgrywania ról, metod wyobrażeniowych jak również z użyciem narzędzi do autodiagnozy umiejętności uczestników. Proces dydaktyczny budowany jest w oparciu o cykl Kolba. </w:t>
      </w:r>
    </w:p>
    <w:p w:rsidR="00E735A3" w:rsidRDefault="00B62D4A">
      <w:r>
        <w:t xml:space="preserve">           </w:t>
      </w:r>
    </w:p>
    <w:p w:rsidR="00B62D4A" w:rsidRDefault="00B62D4A"/>
    <w:p w:rsidR="00B62D4A" w:rsidRDefault="00B62D4A"/>
    <w:p w:rsidR="00B62D4A" w:rsidRDefault="00B62D4A"/>
    <w:p w:rsidR="00B62D4A" w:rsidRDefault="00B62D4A"/>
    <w:p w:rsidR="00B62D4A" w:rsidRDefault="00B62D4A"/>
    <w:p w:rsidR="00B62D4A" w:rsidRDefault="00B62D4A"/>
    <w:p w:rsidR="00B62D4A" w:rsidRDefault="00B62D4A">
      <w:r w:rsidRPr="00B62D4A">
        <w:rPr>
          <w:rFonts w:ascii="Calibri" w:eastAsia="Calibri" w:hAnsi="Calibri" w:cs="Times New Roman"/>
          <w:noProof/>
          <w:sz w:val="16"/>
          <w:szCs w:val="16"/>
          <w:lang w:eastAsia="pl-PL"/>
        </w:rPr>
        <w:drawing>
          <wp:inline distT="0" distB="0" distL="0" distR="0" wp14:anchorId="276B30C0" wp14:editId="563A0612">
            <wp:extent cx="892454" cy="333234"/>
            <wp:effectExtent l="0" t="0" r="0" b="0"/>
            <wp:docPr id="2" name="Obraz 2" descr="Z:\SZKOLENIA MAGD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ZKOLENIA MAGD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07" cy="3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D4A" w:rsidSect="00E7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62F"/>
    <w:multiLevelType w:val="multilevel"/>
    <w:tmpl w:val="5642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55BBF"/>
    <w:multiLevelType w:val="hybridMultilevel"/>
    <w:tmpl w:val="0BAC3B96"/>
    <w:lvl w:ilvl="0" w:tplc="AE848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84E9D"/>
    <w:multiLevelType w:val="multilevel"/>
    <w:tmpl w:val="2EDAD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7086F"/>
    <w:multiLevelType w:val="multilevel"/>
    <w:tmpl w:val="64745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3BE"/>
    <w:rsid w:val="00372AE2"/>
    <w:rsid w:val="00B62D4A"/>
    <w:rsid w:val="00BB03BE"/>
    <w:rsid w:val="00E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3BE"/>
    <w:rPr>
      <w:b/>
      <w:bCs/>
    </w:rPr>
  </w:style>
  <w:style w:type="paragraph" w:styleId="Akapitzlist">
    <w:name w:val="List Paragraph"/>
    <w:basedOn w:val="Normalny"/>
    <w:uiPriority w:val="34"/>
    <w:qFormat/>
    <w:rsid w:val="00BB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Z:\SZKOLENIA%20MAGDA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</cp:lastModifiedBy>
  <cp:revision>3</cp:revision>
  <dcterms:created xsi:type="dcterms:W3CDTF">2015-10-07T13:52:00Z</dcterms:created>
  <dcterms:modified xsi:type="dcterms:W3CDTF">2015-11-24T12:33:00Z</dcterms:modified>
</cp:coreProperties>
</file>